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77" w:rsidRPr="006B6055" w:rsidRDefault="002F2077" w:rsidP="002F20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21F53">
        <w:rPr>
          <w:rFonts w:ascii="Times New Roman" w:hAnsi="Times New Roman" w:cs="Times New Roman"/>
          <w:b/>
          <w:sz w:val="28"/>
          <w:szCs w:val="28"/>
        </w:rPr>
        <w:t>Утверждены документы по установлению тарифов в сфере обращения с отходами</w:t>
      </w:r>
    </w:p>
    <w:p w:rsidR="002F2077" w:rsidRDefault="002F2077" w:rsidP="002F2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F53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1F53">
        <w:rPr>
          <w:rFonts w:ascii="Times New Roman" w:hAnsi="Times New Roman" w:cs="Times New Roman"/>
          <w:sz w:val="28"/>
          <w:szCs w:val="28"/>
        </w:rPr>
        <w:t>731/22 от 11.10.2022 утверждена минимальная норма доходности инвестированного капитала для расчета тарифов в области обращения с ТКО с применением метода доходности инвестированного капитала, созданного до (после) перехода к регулированию тарифов с применением метода доходности инвестированного капитала, на долгосрочный период регулирования с началом долгосрочного периода регулирования в 2023 году.</w:t>
      </w:r>
    </w:p>
    <w:p w:rsidR="002F2077" w:rsidRDefault="002F2077" w:rsidP="002F2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F53">
        <w:rPr>
          <w:rFonts w:ascii="Times New Roman" w:hAnsi="Times New Roman" w:cs="Times New Roman"/>
          <w:sz w:val="28"/>
          <w:szCs w:val="28"/>
        </w:rPr>
        <w:t>При установлении тарифов в сфере обращения с ТКО, за исключением тарифов на энергетическую утилизацию для отдельных категорий регулируемых организаций, может помимо прочих методов применяться метод доходности инвестированного капитала.</w:t>
      </w:r>
    </w:p>
    <w:p w:rsidR="002F2077" w:rsidRDefault="002F2077" w:rsidP="002F2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F53">
        <w:rPr>
          <w:rFonts w:ascii="Times New Roman" w:hAnsi="Times New Roman" w:cs="Times New Roman"/>
          <w:sz w:val="28"/>
          <w:szCs w:val="28"/>
        </w:rPr>
        <w:t>Метод доходности инвестированного капитала применяется в отношении объектов по обращению с ТКО, созданных не ранее 1 января 2015 года. Он основан на формировании долгосрочных тарифов и предусматривает расчет необходимой валовой выручки с учетом возврата инвестированного капитала в установленный срок и получения дохода на инвестированный капитал.</w:t>
      </w:r>
    </w:p>
    <w:p w:rsidR="002F2077" w:rsidRPr="00521F53" w:rsidRDefault="002F2077" w:rsidP="002F2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1F53">
        <w:rPr>
          <w:rFonts w:ascii="Times New Roman" w:hAnsi="Times New Roman" w:cs="Times New Roman"/>
          <w:sz w:val="28"/>
          <w:szCs w:val="28"/>
        </w:rPr>
        <w:t xml:space="preserve"> целях применения метода доходности инвестированного капитала для расчета тарифов в области обращения с ТКО, указанным Приказом Федеральной антимонопольной службы установлены:</w:t>
      </w:r>
    </w:p>
    <w:p w:rsidR="002F2077" w:rsidRPr="00521F53" w:rsidRDefault="002F2077" w:rsidP="002F2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53">
        <w:rPr>
          <w:rFonts w:ascii="Times New Roman" w:hAnsi="Times New Roman" w:cs="Times New Roman"/>
          <w:sz w:val="28"/>
          <w:szCs w:val="28"/>
        </w:rPr>
        <w:t>- минимальная норма доходности инвестированного капитала, созданного до перехода к регулированию тарифов с использованием метода доходности инвестированного капитала, на 3 года с началом долгосрочного периода регулирования в 2023 году;</w:t>
      </w:r>
    </w:p>
    <w:p w:rsidR="002F2077" w:rsidRDefault="002F2077" w:rsidP="002F2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53">
        <w:rPr>
          <w:rFonts w:ascii="Times New Roman" w:hAnsi="Times New Roman" w:cs="Times New Roman"/>
          <w:sz w:val="28"/>
          <w:szCs w:val="28"/>
        </w:rPr>
        <w:t>- минимальная норма доходности инвестированного капитала, созданного после перехода к регулированию тарифов с использованием метода доходности инвестированного капитала.</w:t>
      </w:r>
    </w:p>
    <w:p w:rsidR="002F2077" w:rsidRDefault="002F2077" w:rsidP="002F2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CE" w:rsidRDefault="00AE23CE">
      <w:bookmarkStart w:id="0" w:name="_GoBack"/>
      <w:bookmarkEnd w:id="0"/>
    </w:p>
    <w:sectPr w:rsidR="00AE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77"/>
    <w:rsid w:val="002F2077"/>
    <w:rsid w:val="00A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97C51-C4A9-4421-905B-AA040C51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2022-12-22T18:33:00Z</dcterms:created>
  <dcterms:modified xsi:type="dcterms:W3CDTF">2022-12-22T18:33:00Z</dcterms:modified>
</cp:coreProperties>
</file>